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>Jelentkez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si lap Gy</w:t>
      </w:r>
      <w:r>
        <w:rPr>
          <w:rStyle w:val="Egyik sem"/>
          <w:b w:val="1"/>
          <w:bCs w:val="1"/>
          <w:rtl w:val="0"/>
        </w:rPr>
        <w:t>ő</w:t>
      </w:r>
      <w:r>
        <w:rPr>
          <w:rStyle w:val="Egyik sem"/>
          <w:b w:val="1"/>
          <w:bCs w:val="1"/>
          <w:rtl w:val="0"/>
        </w:rPr>
        <w:t>ri Nemzetk</w:t>
      </w:r>
      <w:r>
        <w:rPr>
          <w:rStyle w:val="Egyik sem"/>
          <w:b w:val="1"/>
          <w:bCs w:val="1"/>
          <w:rtl w:val="0"/>
          <w:lang w:val="sv-SE"/>
        </w:rPr>
        <w:t>ö</w:t>
      </w:r>
      <w:r>
        <w:rPr>
          <w:rStyle w:val="Egyik sem"/>
          <w:b w:val="1"/>
          <w:bCs w:val="1"/>
          <w:rtl w:val="0"/>
        </w:rPr>
        <w:t>zi Tanirodai Ki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ll</w:t>
      </w:r>
      <w:r>
        <w:rPr>
          <w:rStyle w:val="Egyik sem"/>
          <w:b w:val="1"/>
          <w:bCs w:val="1"/>
          <w:rtl w:val="0"/>
        </w:rPr>
        <w:t>í</w:t>
      </w:r>
      <w:r>
        <w:rPr>
          <w:rStyle w:val="Egyik sem"/>
          <w:b w:val="1"/>
          <w:bCs w:val="1"/>
          <w:rtl w:val="0"/>
        </w:rPr>
        <w:t>t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  <w:lang w:val="de-DE"/>
        </w:rPr>
        <w:t>sra</w:t>
      </w:r>
    </w:p>
    <w:p>
      <w:pPr>
        <w:pStyle w:val="Normal.0"/>
        <w:rPr>
          <w:rStyle w:val="Egyik sem"/>
          <w:b w:val="1"/>
          <w:bCs w:val="1"/>
        </w:rPr>
      </w:pPr>
    </w:p>
    <w:p>
      <w:pPr>
        <w:pStyle w:val="Normal.0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>A Ki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ll</w:t>
      </w:r>
      <w:r>
        <w:rPr>
          <w:rStyle w:val="Egyik sem"/>
          <w:b w:val="1"/>
          <w:bCs w:val="1"/>
          <w:rtl w:val="0"/>
        </w:rPr>
        <w:t>í</w:t>
      </w:r>
      <w:r>
        <w:rPr>
          <w:rStyle w:val="Egyik sem"/>
          <w:b w:val="1"/>
          <w:bCs w:val="1"/>
          <w:rtl w:val="0"/>
        </w:rPr>
        <w:t>t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s ideje: 2022. december 14.</w:t>
      </w:r>
    </w:p>
    <w:p>
      <w:pPr>
        <w:pStyle w:val="Normal.0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>A jelentkez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si lap bek</w:t>
      </w:r>
      <w:r>
        <w:rPr>
          <w:rStyle w:val="Egyik sem"/>
          <w:b w:val="1"/>
          <w:bCs w:val="1"/>
          <w:rtl w:val="0"/>
        </w:rPr>
        <w:t>ü</w:t>
      </w:r>
      <w:r>
        <w:rPr>
          <w:rStyle w:val="Egyik sem"/>
          <w:b w:val="1"/>
          <w:bCs w:val="1"/>
          <w:rtl w:val="0"/>
        </w:rPr>
        <w:t>ld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si hat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 xml:space="preserve">rideje: 2022. november </w:t>
      </w:r>
      <w:r>
        <w:rPr>
          <w:rStyle w:val="Egyik sem"/>
          <w:b w:val="1"/>
          <w:bCs w:val="1"/>
          <w:rtl w:val="0"/>
        </w:rPr>
        <w:t>20</w:t>
      </w:r>
      <w:r>
        <w:rPr>
          <w:rStyle w:val="Egyik sem"/>
          <w:b w:val="1"/>
          <w:bCs w:val="1"/>
          <w:rtl w:val="0"/>
        </w:rPr>
        <w:t xml:space="preserve">. </w:t>
      </w:r>
    </w:p>
    <w:p>
      <w:pPr>
        <w:pStyle w:val="Normal.0"/>
        <w:rPr>
          <w:rStyle w:val="Egyik sem"/>
          <w:u w:val="single"/>
        </w:rPr>
      </w:pPr>
      <w:r>
        <w:rPr>
          <w:rStyle w:val="Egyik sem"/>
          <w:u w:val="single"/>
          <w:rtl w:val="0"/>
          <w:lang w:val="pt-PT"/>
        </w:rPr>
        <w:t>A r</w:t>
      </w:r>
      <w:r>
        <w:rPr>
          <w:rStyle w:val="Egyik sem"/>
          <w:u w:val="single"/>
          <w:rtl w:val="0"/>
          <w:lang w:val="fr-FR"/>
        </w:rPr>
        <w:t>é</w:t>
      </w:r>
      <w:r>
        <w:rPr>
          <w:rStyle w:val="Egyik sem"/>
          <w:u w:val="single"/>
          <w:rtl w:val="0"/>
        </w:rPr>
        <w:t>szvev</w:t>
      </w:r>
      <w:r>
        <w:rPr>
          <w:rStyle w:val="Egyik sem"/>
          <w:u w:val="single"/>
          <w:rtl w:val="0"/>
        </w:rPr>
        <w:t>ő</w:t>
      </w:r>
      <w:r>
        <w:rPr>
          <w:rStyle w:val="Egyik sem"/>
          <w:u w:val="single"/>
          <w:rtl w:val="0"/>
        </w:rPr>
        <w:t>k adatai:</w:t>
      </w:r>
      <w:r>
        <w:rPr>
          <w:rStyle w:val="Egyik sem"/>
          <w:u w:val="single"/>
        </w:rPr>
        <w:br w:type="textWrapping"/>
        <w:br w:type="textWrapping"/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Az iskola neve:</w:t>
            </w:r>
          </w:p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me: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0"/>
                <w:bCs w:val="0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Gyakorl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g neve: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Felk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n-US"/>
              </w:rPr>
              <w:t>r neve: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Felk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r el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rhet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de-DE"/>
              </w:rPr>
              <w:t>ge:</w:t>
            </w:r>
          </w:p>
          <w:p>
            <w:pPr>
              <w:pStyle w:val="Normal.0"/>
              <w:spacing w:after="0" w:line="240" w:lineRule="auto"/>
              <w:rPr>
                <w:rStyle w:val="Egyik sem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Egyik sem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Egyik sem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Style w:val="Egyik sem"/>
          <w:u w:val="single"/>
        </w:rPr>
      </w:pPr>
    </w:p>
    <w:p>
      <w:pPr>
        <w:pStyle w:val="Normal.0"/>
      </w:pPr>
    </w:p>
    <w:p>
      <w:pPr>
        <w:pStyle w:val="Normal.0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>K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r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s, megjegyz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s:</w:t>
      </w:r>
    </w:p>
    <w:p>
      <w:pPr>
        <w:pStyle w:val="Normal.0"/>
        <w:rPr>
          <w:rStyle w:val="Egyik sem"/>
          <w:b w:val="1"/>
          <w:bCs w:val="1"/>
        </w:rPr>
      </w:pPr>
    </w:p>
    <w:p>
      <w:pPr>
        <w:pStyle w:val="Normal.0"/>
        <w:rPr>
          <w:rStyle w:val="Egyik sem"/>
          <w:b w:val="1"/>
          <w:bCs w:val="1"/>
        </w:rPr>
      </w:pPr>
    </w:p>
    <w:p>
      <w:pPr>
        <w:pStyle w:val="Normal.0"/>
        <w:rPr>
          <w:rStyle w:val="Egyik sem"/>
          <w:b w:val="1"/>
          <w:bCs w:val="1"/>
        </w:rPr>
      </w:pPr>
    </w:p>
    <w:p>
      <w:pPr>
        <w:pStyle w:val="Normal.0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>A jelentkez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 xml:space="preserve">si lapot az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"mailto:iskola@deakgyor.hu"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iskola@deakgyor.hu</w:t>
      </w:r>
      <w:r>
        <w:rPr/>
        <w:fldChar w:fldCharType="end" w:fldLock="0"/>
      </w:r>
      <w:r>
        <w:rPr>
          <w:rStyle w:val="Egyik sem"/>
          <w:b w:val="1"/>
          <w:bCs w:val="1"/>
          <w:rtl w:val="0"/>
        </w:rPr>
        <w:t xml:space="preserve"> e-mail c</w:t>
      </w:r>
      <w:r>
        <w:rPr>
          <w:rStyle w:val="Egyik sem"/>
          <w:b w:val="1"/>
          <w:bCs w:val="1"/>
          <w:rtl w:val="0"/>
        </w:rPr>
        <w:t>í</w:t>
      </w:r>
      <w:r>
        <w:rPr>
          <w:rStyle w:val="Egyik sem"/>
          <w:b w:val="1"/>
          <w:bCs w:val="1"/>
          <w:rtl w:val="0"/>
          <w:lang w:val="da-DK"/>
        </w:rPr>
        <w:t>mre k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rj</w:t>
      </w:r>
      <w:r>
        <w:rPr>
          <w:rStyle w:val="Egyik sem"/>
          <w:b w:val="1"/>
          <w:bCs w:val="1"/>
          <w:rtl w:val="0"/>
        </w:rPr>
        <w:t>ü</w:t>
      </w:r>
      <w:r>
        <w:rPr>
          <w:rStyle w:val="Egyik sem"/>
          <w:b w:val="1"/>
          <w:bCs w:val="1"/>
          <w:rtl w:val="0"/>
        </w:rPr>
        <w:t>k visszak</w:t>
      </w:r>
      <w:r>
        <w:rPr>
          <w:rStyle w:val="Egyik sem"/>
          <w:b w:val="1"/>
          <w:bCs w:val="1"/>
          <w:rtl w:val="0"/>
        </w:rPr>
        <w:t>ü</w:t>
      </w:r>
      <w:r>
        <w:rPr>
          <w:rStyle w:val="Egyik sem"/>
          <w:b w:val="1"/>
          <w:bCs w:val="1"/>
          <w:rtl w:val="0"/>
        </w:rPr>
        <w:t>ldeni!</w:t>
      </w:r>
    </w:p>
    <w:p>
      <w:pPr>
        <w:pStyle w:val="Normal.0"/>
      </w:pPr>
      <w:r>
        <w:rPr>
          <w:rStyle w:val="Egyik sem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